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3B7" w:rsidRDefault="006273B7" w:rsidP="006273B7">
      <w:pPr>
        <w:spacing w:after="0" w:line="276" w:lineRule="auto"/>
        <w:jc w:val="center"/>
        <w:rPr>
          <w:rFonts w:ascii="Arial" w:hAnsi="Arial" w:cs="Arial"/>
          <w:b/>
          <w:sz w:val="24"/>
          <w:szCs w:val="24"/>
          <w:lang w:val="es-MX"/>
        </w:rPr>
      </w:pPr>
    </w:p>
    <w:p w:rsidR="006273B7" w:rsidRDefault="006273B7" w:rsidP="006273B7">
      <w:pPr>
        <w:spacing w:after="0" w:line="276" w:lineRule="auto"/>
        <w:jc w:val="center"/>
        <w:rPr>
          <w:rFonts w:ascii="Arial" w:hAnsi="Arial" w:cs="Arial"/>
          <w:b/>
          <w:sz w:val="24"/>
          <w:szCs w:val="24"/>
          <w:lang w:val="es-MX"/>
        </w:rPr>
      </w:pPr>
    </w:p>
    <w:p w:rsidR="006273B7" w:rsidRPr="00EF3A84" w:rsidRDefault="0058724E" w:rsidP="00A43EFF">
      <w:pPr>
        <w:pStyle w:val="Textoindependiente"/>
        <w:spacing w:after="0" w:line="276" w:lineRule="auto"/>
        <w:jc w:val="center"/>
        <w:rPr>
          <w:rFonts w:ascii="Century Gothic" w:hAnsi="Century Gothic" w:cs="Arial"/>
          <w:b/>
          <w:sz w:val="24"/>
          <w:szCs w:val="24"/>
          <w:lang w:val="es-MX"/>
        </w:rPr>
      </w:pPr>
      <w:r>
        <w:rPr>
          <w:rFonts w:ascii="Century Gothic" w:hAnsi="Century Gothic" w:cs="Arial"/>
          <w:sz w:val="24"/>
          <w:szCs w:val="24"/>
          <w:lang w:val="es-MX"/>
        </w:rPr>
        <w:t>“</w:t>
      </w:r>
      <w:r w:rsidR="006273B7" w:rsidRPr="00EF3A84">
        <w:rPr>
          <w:rFonts w:ascii="Century Gothic" w:hAnsi="Century Gothic" w:cs="Arial"/>
          <w:sz w:val="24"/>
          <w:szCs w:val="24"/>
          <w:lang w:val="es-MX"/>
        </w:rPr>
        <w:t>Cobro de depósito en garantía para asegurar el retiro voluntario de los anuncios móviles, carteleras y pendones de la vía pública por parte de los anunciantes</w:t>
      </w:r>
      <w:r>
        <w:rPr>
          <w:rFonts w:ascii="Century Gothic" w:hAnsi="Century Gothic" w:cs="Arial"/>
          <w:b/>
          <w:sz w:val="24"/>
          <w:szCs w:val="24"/>
          <w:lang w:val="es-MX"/>
        </w:rPr>
        <w:t>”</w:t>
      </w:r>
      <w:bookmarkStart w:id="0" w:name="_GoBack"/>
      <w:bookmarkEnd w:id="0"/>
    </w:p>
    <w:p w:rsidR="00EF3A84" w:rsidRPr="00A43EFF" w:rsidRDefault="00EF3A84" w:rsidP="00A43EFF">
      <w:pPr>
        <w:pStyle w:val="Textoindependiente"/>
        <w:spacing w:after="0" w:line="276" w:lineRule="auto"/>
        <w:jc w:val="center"/>
        <w:rPr>
          <w:rFonts w:ascii="Century Gothic" w:hAnsi="Century Gothic" w:cs="Arial"/>
          <w:b/>
          <w:sz w:val="24"/>
          <w:szCs w:val="24"/>
          <w:lang w:val="es-MX"/>
        </w:rPr>
      </w:pPr>
    </w:p>
    <w:p w:rsidR="00EF3A84" w:rsidRPr="00A43EFF" w:rsidRDefault="00EF3A84" w:rsidP="00A43EFF">
      <w:pPr>
        <w:pStyle w:val="Textoindependiente"/>
        <w:spacing w:after="0" w:line="276" w:lineRule="auto"/>
        <w:jc w:val="center"/>
        <w:rPr>
          <w:rFonts w:ascii="Century Gothic" w:hAnsi="Century Gothic" w:cs="Arial"/>
          <w:b/>
          <w:sz w:val="24"/>
          <w:szCs w:val="24"/>
          <w:lang w:val="es-MX"/>
        </w:rPr>
      </w:pPr>
      <w:r w:rsidRPr="00A43EFF">
        <w:rPr>
          <w:rFonts w:ascii="Century Gothic" w:hAnsi="Century Gothic" w:cs="Arial"/>
          <w:b/>
          <w:sz w:val="24"/>
          <w:szCs w:val="24"/>
          <w:lang w:val="es-MX"/>
        </w:rPr>
        <w:t>EXPOSICIÓN DE MOTIVOS</w:t>
      </w:r>
    </w:p>
    <w:p w:rsidR="006273B7" w:rsidRPr="00A43EFF" w:rsidRDefault="006273B7" w:rsidP="00A43EFF">
      <w:pPr>
        <w:spacing w:after="0" w:line="276" w:lineRule="auto"/>
        <w:rPr>
          <w:rFonts w:ascii="Century Gothic" w:hAnsi="Century Gothic" w:cs="Arial"/>
          <w:sz w:val="24"/>
          <w:szCs w:val="24"/>
          <w:lang w:val="es-MX"/>
        </w:rPr>
      </w:pPr>
    </w:p>
    <w:p w:rsidR="006273B7" w:rsidRPr="00A43EFF" w:rsidRDefault="006273B7" w:rsidP="00A43EFF">
      <w:pPr>
        <w:spacing w:after="0" w:line="276" w:lineRule="auto"/>
        <w:rPr>
          <w:rFonts w:ascii="Century Gothic" w:hAnsi="Century Gothic" w:cs="Arial"/>
          <w:b/>
          <w:sz w:val="24"/>
          <w:szCs w:val="24"/>
          <w:lang w:val="es-MX"/>
        </w:rPr>
      </w:pPr>
    </w:p>
    <w:p w:rsidR="00EF3A84" w:rsidRPr="00A43EFF" w:rsidRDefault="00EF3A84" w:rsidP="00A43EFF">
      <w:pPr>
        <w:pStyle w:val="Textoindependiente"/>
        <w:spacing w:after="0" w:line="276" w:lineRule="auto"/>
        <w:jc w:val="both"/>
        <w:rPr>
          <w:rFonts w:ascii="Century Gothic" w:hAnsi="Century Gothic" w:cs="Arial"/>
          <w:sz w:val="24"/>
          <w:szCs w:val="24"/>
          <w:lang w:val="es-MX"/>
        </w:rPr>
      </w:pPr>
      <w:r w:rsidRPr="00A43EFF">
        <w:rPr>
          <w:rFonts w:ascii="Century Gothic" w:hAnsi="Century Gothic" w:cs="Arial"/>
          <w:sz w:val="24"/>
          <w:szCs w:val="24"/>
          <w:lang w:val="es-MX"/>
        </w:rPr>
        <w:t>Considerando la presentación del paquete económico para el</w:t>
      </w:r>
      <w:r w:rsidR="00B631CC" w:rsidRPr="00A43EFF">
        <w:rPr>
          <w:rFonts w:ascii="Century Gothic" w:hAnsi="Century Gothic" w:cs="Arial"/>
          <w:sz w:val="24"/>
          <w:szCs w:val="24"/>
          <w:lang w:val="es-MX"/>
        </w:rPr>
        <w:t xml:space="preserve"> ejercicio fiscal 2020 basados en una política de austeridad, que seguirá afectando los recursos transferidos y las participaciones a estados y municipios se verán reducidas; de tal manera que el panorama para el ejercicio entrante perfila como mejor opción, el fortalecimiento a los ingresos propios en todas sus aristas,</w:t>
      </w:r>
      <w:r w:rsidR="00EB6D86" w:rsidRPr="00A43EFF">
        <w:rPr>
          <w:rFonts w:ascii="Century Gothic" w:hAnsi="Century Gothic" w:cs="Arial"/>
          <w:sz w:val="24"/>
          <w:szCs w:val="24"/>
          <w:lang w:val="es-MX"/>
        </w:rPr>
        <w:t xml:space="preserve"> motivo por el cual me permito:</w:t>
      </w:r>
      <w:r w:rsidR="00B631CC" w:rsidRPr="00A43EFF">
        <w:rPr>
          <w:rFonts w:ascii="Century Gothic" w:hAnsi="Century Gothic" w:cs="Arial"/>
          <w:sz w:val="24"/>
          <w:szCs w:val="24"/>
          <w:lang w:val="es-MX"/>
        </w:rPr>
        <w:t xml:space="preserve"> </w:t>
      </w:r>
    </w:p>
    <w:p w:rsidR="00EF3A84" w:rsidRPr="00A43EFF" w:rsidRDefault="00EF3A84" w:rsidP="00A43EFF">
      <w:pPr>
        <w:pStyle w:val="Textoindependiente"/>
        <w:spacing w:after="0" w:line="276" w:lineRule="auto"/>
        <w:jc w:val="both"/>
        <w:rPr>
          <w:rFonts w:ascii="Century Gothic" w:hAnsi="Century Gothic" w:cs="Arial"/>
          <w:sz w:val="24"/>
          <w:szCs w:val="24"/>
          <w:lang w:val="es-MX"/>
        </w:rPr>
      </w:pPr>
    </w:p>
    <w:p w:rsidR="00EB6D86" w:rsidRPr="00A43EFF" w:rsidRDefault="00EB6D86" w:rsidP="00A43EFF">
      <w:pPr>
        <w:pStyle w:val="Textoindependiente"/>
        <w:spacing w:after="0" w:line="276" w:lineRule="auto"/>
        <w:jc w:val="both"/>
        <w:rPr>
          <w:rFonts w:ascii="Century Gothic" w:hAnsi="Century Gothic" w:cs="Arial"/>
          <w:sz w:val="24"/>
          <w:szCs w:val="24"/>
          <w:lang w:val="es-MX"/>
        </w:rPr>
      </w:pPr>
      <w:r w:rsidRPr="00A43EFF">
        <w:rPr>
          <w:rFonts w:ascii="Century Gothic" w:hAnsi="Century Gothic" w:cs="Arial"/>
          <w:sz w:val="24"/>
          <w:szCs w:val="24"/>
          <w:lang w:val="es-MX"/>
        </w:rPr>
        <w:t>El Reglamento de Anuncios y Toldos para la Ciudad de Guanajuato y su Municipio</w:t>
      </w:r>
      <w:r w:rsidR="009105E4" w:rsidRPr="00A43EFF">
        <w:rPr>
          <w:rFonts w:ascii="Century Gothic" w:hAnsi="Century Gothic" w:cs="Arial"/>
          <w:sz w:val="24"/>
          <w:szCs w:val="24"/>
          <w:lang w:val="es-MX"/>
        </w:rPr>
        <w:t xml:space="preserve">, en el artículo 83, contempla la imposición de sanciones pecuniarias en contra de los sujetos obligados del ordenamiento ante el incumplimiento de las obligaciones señaladas, sin embargo, en la práctica, </w:t>
      </w:r>
      <w:r w:rsidR="00A53739" w:rsidRPr="00A43EFF">
        <w:rPr>
          <w:rFonts w:ascii="Century Gothic" w:hAnsi="Century Gothic" w:cs="Arial"/>
          <w:sz w:val="24"/>
          <w:szCs w:val="24"/>
          <w:lang w:val="es-MX"/>
        </w:rPr>
        <w:t xml:space="preserve">múltiples particulares y empresas con domicilios establecidos fuera de la demarcación municipal, ven en la ciudad capital potencial para generar ganancias económicas, lo cual es beneficioso para la hacienda municipal, pero el no tener un domicilio en la ciudad, impide la notificación y seguimiento a los medio de apremio contemplados en la reglamentación, particularmente n los casos donde los anunciantes no retiran en tiempo y forma los </w:t>
      </w:r>
      <w:r w:rsidR="00A53739" w:rsidRPr="00A43EFF">
        <w:rPr>
          <w:rFonts w:ascii="Century Gothic" w:hAnsi="Century Gothic" w:cs="Arial"/>
          <w:sz w:val="24"/>
          <w:szCs w:val="24"/>
        </w:rPr>
        <w:t>elemento</w:t>
      </w:r>
      <w:r w:rsidR="00A53739" w:rsidRPr="00A43EFF">
        <w:rPr>
          <w:rFonts w:ascii="Century Gothic" w:hAnsi="Century Gothic" w:cs="Arial"/>
          <w:sz w:val="24"/>
          <w:szCs w:val="24"/>
        </w:rPr>
        <w:t>s</w:t>
      </w:r>
      <w:r w:rsidR="00A53739" w:rsidRPr="00A43EFF">
        <w:rPr>
          <w:rFonts w:ascii="Century Gothic" w:hAnsi="Century Gothic" w:cs="Arial"/>
          <w:sz w:val="24"/>
          <w:szCs w:val="24"/>
        </w:rPr>
        <w:t xml:space="preserve"> de información, comunicación, o publicidad, que indique</w:t>
      </w:r>
      <w:r w:rsidR="00A53739" w:rsidRPr="00A43EFF">
        <w:rPr>
          <w:rFonts w:ascii="Century Gothic" w:hAnsi="Century Gothic" w:cs="Arial"/>
          <w:sz w:val="24"/>
          <w:szCs w:val="24"/>
        </w:rPr>
        <w:t>n</w:t>
      </w:r>
      <w:r w:rsidR="00A53739" w:rsidRPr="00A43EFF">
        <w:rPr>
          <w:rFonts w:ascii="Century Gothic" w:hAnsi="Century Gothic" w:cs="Arial"/>
          <w:sz w:val="24"/>
          <w:szCs w:val="24"/>
        </w:rPr>
        <w:t>, señale</w:t>
      </w:r>
      <w:r w:rsidR="00A53739" w:rsidRPr="00A43EFF">
        <w:rPr>
          <w:rFonts w:ascii="Century Gothic" w:hAnsi="Century Gothic" w:cs="Arial"/>
          <w:sz w:val="24"/>
          <w:szCs w:val="24"/>
        </w:rPr>
        <w:t>n</w:t>
      </w:r>
      <w:r w:rsidR="00A53739" w:rsidRPr="00A43EFF">
        <w:rPr>
          <w:rFonts w:ascii="Century Gothic" w:hAnsi="Century Gothic" w:cs="Arial"/>
          <w:sz w:val="24"/>
          <w:szCs w:val="24"/>
        </w:rPr>
        <w:t>, avise</w:t>
      </w:r>
      <w:r w:rsidR="00A53739" w:rsidRPr="00A43EFF">
        <w:rPr>
          <w:rFonts w:ascii="Century Gothic" w:hAnsi="Century Gothic" w:cs="Arial"/>
          <w:sz w:val="24"/>
          <w:szCs w:val="24"/>
        </w:rPr>
        <w:t>n</w:t>
      </w:r>
      <w:r w:rsidR="00A53739" w:rsidRPr="00A43EFF">
        <w:rPr>
          <w:rFonts w:ascii="Century Gothic" w:hAnsi="Century Gothic" w:cs="Arial"/>
          <w:sz w:val="24"/>
          <w:szCs w:val="24"/>
        </w:rPr>
        <w:t>, muestre</w:t>
      </w:r>
      <w:r w:rsidR="00A53739" w:rsidRPr="00A43EFF">
        <w:rPr>
          <w:rFonts w:ascii="Century Gothic" w:hAnsi="Century Gothic" w:cs="Arial"/>
          <w:sz w:val="24"/>
          <w:szCs w:val="24"/>
        </w:rPr>
        <w:t>n</w:t>
      </w:r>
      <w:r w:rsidR="00A53739" w:rsidRPr="00A43EFF">
        <w:rPr>
          <w:rFonts w:ascii="Century Gothic" w:hAnsi="Century Gothic" w:cs="Arial"/>
          <w:sz w:val="24"/>
          <w:szCs w:val="24"/>
        </w:rPr>
        <w:t xml:space="preserve"> o difunda</w:t>
      </w:r>
      <w:r w:rsidR="00A53739" w:rsidRPr="00A43EFF">
        <w:rPr>
          <w:rFonts w:ascii="Century Gothic" w:hAnsi="Century Gothic" w:cs="Arial"/>
          <w:sz w:val="24"/>
          <w:szCs w:val="24"/>
        </w:rPr>
        <w:t>n</w:t>
      </w:r>
      <w:r w:rsidR="00A53739" w:rsidRPr="00A43EFF">
        <w:rPr>
          <w:rFonts w:ascii="Century Gothic" w:hAnsi="Century Gothic" w:cs="Arial"/>
          <w:sz w:val="24"/>
          <w:szCs w:val="24"/>
        </w:rPr>
        <w:t xml:space="preserve"> al público cualquier mensaje relacionado con la producción</w:t>
      </w:r>
      <w:r w:rsidR="00A53739" w:rsidRPr="00A43EFF">
        <w:rPr>
          <w:rFonts w:ascii="Century Gothic" w:hAnsi="Century Gothic" w:cs="Arial"/>
          <w:sz w:val="24"/>
          <w:szCs w:val="24"/>
        </w:rPr>
        <w:t xml:space="preserve"> y venta de productos o bienes.</w:t>
      </w:r>
      <w:r w:rsidR="00A53739" w:rsidRPr="00A43EFF">
        <w:rPr>
          <w:rFonts w:ascii="Century Gothic" w:hAnsi="Century Gothic" w:cs="Arial"/>
          <w:sz w:val="24"/>
          <w:szCs w:val="24"/>
          <w:lang w:val="es-MX"/>
        </w:rPr>
        <w:t xml:space="preserve"> </w:t>
      </w:r>
    </w:p>
    <w:p w:rsidR="00A53739" w:rsidRPr="00A43EFF" w:rsidRDefault="00A53739" w:rsidP="00A43EFF">
      <w:pPr>
        <w:pStyle w:val="Textoindependiente"/>
        <w:spacing w:after="0" w:line="276" w:lineRule="auto"/>
        <w:jc w:val="both"/>
        <w:rPr>
          <w:rFonts w:ascii="Century Gothic" w:hAnsi="Century Gothic" w:cs="Arial"/>
          <w:sz w:val="24"/>
          <w:szCs w:val="24"/>
          <w:lang w:val="es-MX"/>
        </w:rPr>
      </w:pPr>
    </w:p>
    <w:p w:rsidR="00A53739" w:rsidRPr="00A43EFF" w:rsidRDefault="00A53739" w:rsidP="00A43EFF">
      <w:pPr>
        <w:pStyle w:val="Textoindependiente"/>
        <w:spacing w:after="0" w:line="276" w:lineRule="auto"/>
        <w:jc w:val="both"/>
        <w:rPr>
          <w:rFonts w:ascii="Century Gothic" w:hAnsi="Century Gothic" w:cs="Arial"/>
          <w:sz w:val="24"/>
          <w:szCs w:val="24"/>
          <w:lang w:val="es-MX"/>
        </w:rPr>
      </w:pPr>
      <w:r w:rsidRPr="00A43EFF">
        <w:rPr>
          <w:rFonts w:ascii="Century Gothic" w:hAnsi="Century Gothic" w:cs="Arial"/>
          <w:sz w:val="24"/>
          <w:szCs w:val="24"/>
          <w:lang w:val="es-MX"/>
        </w:rPr>
        <w:t xml:space="preserve">Es por eso, que se sugiere implementar, el pago de una garantía para asegurar el retiro voluntario de anuncios, equivalente a la cantidad resultante de 15 UMAS, </w:t>
      </w:r>
      <w:r w:rsidR="00A43EFF" w:rsidRPr="00A43EFF">
        <w:rPr>
          <w:rFonts w:ascii="Century Gothic" w:hAnsi="Century Gothic" w:cs="Arial"/>
          <w:sz w:val="24"/>
          <w:szCs w:val="24"/>
          <w:lang w:val="es-MX"/>
        </w:rPr>
        <w:t>que es el equivalente al salario diario del personal e insumos que el municipio destinará para el retiro de publicidad.</w:t>
      </w:r>
    </w:p>
    <w:p w:rsidR="00A43EFF" w:rsidRPr="00A43EFF" w:rsidRDefault="00A43EFF" w:rsidP="00A43EFF">
      <w:pPr>
        <w:pStyle w:val="Textoindependiente"/>
        <w:spacing w:after="0" w:line="276" w:lineRule="auto"/>
        <w:jc w:val="both"/>
        <w:rPr>
          <w:rFonts w:ascii="Century Gothic" w:hAnsi="Century Gothic" w:cs="Arial"/>
          <w:sz w:val="24"/>
          <w:szCs w:val="24"/>
          <w:lang w:val="es-MX"/>
        </w:rPr>
      </w:pPr>
    </w:p>
    <w:p w:rsidR="00A43EFF" w:rsidRPr="00A43EFF" w:rsidRDefault="00A43EFF" w:rsidP="00A43EFF">
      <w:pPr>
        <w:pStyle w:val="Textoindependiente"/>
        <w:spacing w:after="0" w:line="276" w:lineRule="auto"/>
        <w:jc w:val="both"/>
        <w:rPr>
          <w:rFonts w:ascii="Century Gothic" w:hAnsi="Century Gothic" w:cs="Arial"/>
          <w:sz w:val="24"/>
          <w:szCs w:val="24"/>
          <w:lang w:val="es-MX"/>
        </w:rPr>
      </w:pPr>
      <w:r w:rsidRPr="00A43EFF">
        <w:rPr>
          <w:rFonts w:ascii="Century Gothic" w:hAnsi="Century Gothic" w:cs="Arial"/>
          <w:sz w:val="24"/>
          <w:szCs w:val="24"/>
          <w:lang w:val="es-MX"/>
        </w:rPr>
        <w:t xml:space="preserve">En caso de que los anunciantes cumplan a cabalidad con el retiro de propaganda, la garantía será devuelta de manera íntegra en un plazo no mayor de 05 días hábiles. </w:t>
      </w:r>
    </w:p>
    <w:p w:rsidR="00EB6D86" w:rsidRDefault="00EB6D86" w:rsidP="006273B7">
      <w:pPr>
        <w:pStyle w:val="Textoindependiente"/>
        <w:jc w:val="both"/>
        <w:rPr>
          <w:rFonts w:ascii="Century Gothic" w:hAnsi="Century Gothic" w:cs="Arial"/>
          <w:sz w:val="24"/>
          <w:szCs w:val="24"/>
          <w:lang w:val="es-MX"/>
        </w:rPr>
      </w:pPr>
    </w:p>
    <w:p w:rsidR="00A43EFF" w:rsidRDefault="00A43EFF" w:rsidP="006273B7">
      <w:pPr>
        <w:pStyle w:val="Textoindependiente"/>
        <w:jc w:val="both"/>
        <w:rPr>
          <w:rFonts w:ascii="Century Gothic" w:hAnsi="Century Gothic" w:cs="Arial"/>
          <w:sz w:val="24"/>
          <w:szCs w:val="24"/>
          <w:lang w:val="es-MX"/>
        </w:rPr>
      </w:pPr>
    </w:p>
    <w:p w:rsidR="00A43EFF" w:rsidRDefault="00A43EFF" w:rsidP="006273B7">
      <w:pPr>
        <w:pStyle w:val="Textoindependiente"/>
        <w:jc w:val="both"/>
        <w:rPr>
          <w:rFonts w:ascii="Century Gothic" w:hAnsi="Century Gothic" w:cs="Arial"/>
          <w:sz w:val="24"/>
          <w:szCs w:val="24"/>
          <w:lang w:val="es-MX"/>
        </w:rPr>
      </w:pPr>
    </w:p>
    <w:p w:rsidR="00A43EFF" w:rsidRDefault="00A43EFF" w:rsidP="006273B7">
      <w:pPr>
        <w:pStyle w:val="Textoindependiente"/>
        <w:jc w:val="both"/>
        <w:rPr>
          <w:rFonts w:ascii="Century Gothic" w:hAnsi="Century Gothic" w:cs="Arial"/>
          <w:sz w:val="24"/>
          <w:szCs w:val="24"/>
          <w:lang w:val="es-MX"/>
        </w:rPr>
      </w:pPr>
    </w:p>
    <w:p w:rsidR="00A43EFF" w:rsidRDefault="00A43EFF" w:rsidP="006273B7">
      <w:pPr>
        <w:pStyle w:val="Textoindependiente"/>
        <w:jc w:val="both"/>
        <w:rPr>
          <w:rFonts w:ascii="Century Gothic" w:hAnsi="Century Gothic" w:cs="Arial"/>
          <w:sz w:val="24"/>
          <w:szCs w:val="24"/>
          <w:lang w:val="es-MX"/>
        </w:rPr>
      </w:pPr>
      <w:r>
        <w:rPr>
          <w:rFonts w:ascii="Century Gothic" w:hAnsi="Century Gothic" w:cs="Arial"/>
          <w:sz w:val="24"/>
          <w:szCs w:val="24"/>
          <w:lang w:val="es-MX"/>
        </w:rPr>
        <w:t xml:space="preserve">La aplicación de la garantía por parte del municipio para el retiro de publicidad y similares, servirá para que la administración pública no destine recursos del erario, para situaciones que deben ser solventadas por el anunciante.  </w:t>
      </w:r>
    </w:p>
    <w:p w:rsidR="00A43EFF" w:rsidRDefault="00A43EFF" w:rsidP="006273B7">
      <w:pPr>
        <w:pStyle w:val="Textoindependiente"/>
        <w:jc w:val="both"/>
        <w:rPr>
          <w:rFonts w:ascii="Century Gothic" w:hAnsi="Century Gothic" w:cs="Arial"/>
          <w:sz w:val="24"/>
          <w:szCs w:val="24"/>
          <w:lang w:val="es-MX"/>
        </w:rPr>
      </w:pPr>
    </w:p>
    <w:p w:rsidR="00A43EFF" w:rsidRDefault="00A43EFF" w:rsidP="006273B7">
      <w:pPr>
        <w:pStyle w:val="Textoindependiente"/>
        <w:jc w:val="both"/>
        <w:rPr>
          <w:rFonts w:ascii="Century Gothic" w:hAnsi="Century Gothic" w:cs="Arial"/>
          <w:sz w:val="24"/>
          <w:szCs w:val="24"/>
          <w:lang w:val="es-MX"/>
        </w:rPr>
      </w:pPr>
      <w:r>
        <w:rPr>
          <w:rFonts w:ascii="Century Gothic" w:hAnsi="Century Gothic" w:cs="Arial"/>
          <w:sz w:val="24"/>
          <w:szCs w:val="24"/>
          <w:lang w:val="es-MX"/>
        </w:rPr>
        <w:t xml:space="preserve">Se basa la petición, de conformidad con el artículo 130, fracción </w:t>
      </w:r>
      <w:r w:rsidR="0058724E">
        <w:rPr>
          <w:rFonts w:ascii="Century Gothic" w:hAnsi="Century Gothic" w:cs="Arial"/>
          <w:sz w:val="24"/>
          <w:szCs w:val="24"/>
          <w:lang w:val="es-MX"/>
        </w:rPr>
        <w:t>VII, de la Ley Orgánica Municipal para el Estado de Guanajuato, que a la letra refiere:</w:t>
      </w:r>
    </w:p>
    <w:p w:rsidR="0058724E" w:rsidRPr="0058724E" w:rsidRDefault="0058724E" w:rsidP="006273B7">
      <w:pPr>
        <w:pStyle w:val="Textoindependiente"/>
        <w:jc w:val="both"/>
        <w:rPr>
          <w:rFonts w:ascii="Century Gothic" w:hAnsi="Century Gothic" w:cs="Arial"/>
          <w:i/>
          <w:lang w:val="es-MX"/>
        </w:rPr>
      </w:pPr>
    </w:p>
    <w:p w:rsidR="0058724E" w:rsidRPr="0058724E" w:rsidRDefault="0058724E" w:rsidP="006273B7">
      <w:pPr>
        <w:pStyle w:val="Textoindependiente"/>
        <w:jc w:val="both"/>
        <w:rPr>
          <w:rFonts w:ascii="Century Gothic" w:hAnsi="Century Gothic" w:cs="Arial"/>
          <w:i/>
          <w:lang w:val="es-MX"/>
        </w:rPr>
      </w:pPr>
      <w:r w:rsidRPr="0058724E">
        <w:rPr>
          <w:rFonts w:ascii="Century Gothic" w:hAnsi="Century Gothic" w:cs="Arial"/>
          <w:i/>
          <w:lang w:val="es-MX"/>
        </w:rPr>
        <w:t>“</w:t>
      </w:r>
      <w:r w:rsidRPr="0058724E">
        <w:rPr>
          <w:rFonts w:ascii="Century Gothic" w:hAnsi="Century Gothic" w:cs="Arial"/>
          <w:b/>
          <w:i/>
          <w:lang w:val="es-MX"/>
        </w:rPr>
        <w:t>Artículo 130</w:t>
      </w:r>
      <w:r w:rsidRPr="0058724E">
        <w:rPr>
          <w:rFonts w:ascii="Century Gothic" w:hAnsi="Century Gothic" w:cs="Arial"/>
          <w:i/>
          <w:lang w:val="es-MX"/>
        </w:rPr>
        <w:t>. Son atribuciones del Tesorero Municipal:</w:t>
      </w:r>
    </w:p>
    <w:p w:rsidR="0058724E" w:rsidRPr="0058724E" w:rsidRDefault="0058724E" w:rsidP="006273B7">
      <w:pPr>
        <w:pStyle w:val="Textoindependiente"/>
        <w:jc w:val="both"/>
        <w:rPr>
          <w:rFonts w:ascii="Century Gothic" w:hAnsi="Century Gothic" w:cs="Arial"/>
          <w:i/>
          <w:lang w:val="es-MX"/>
        </w:rPr>
      </w:pPr>
    </w:p>
    <w:p w:rsidR="0058724E" w:rsidRPr="0058724E" w:rsidRDefault="0058724E" w:rsidP="006273B7">
      <w:pPr>
        <w:pStyle w:val="Textoindependiente"/>
        <w:jc w:val="both"/>
        <w:rPr>
          <w:rFonts w:ascii="Century Gothic" w:hAnsi="Century Gothic" w:cs="Arial"/>
          <w:i/>
          <w:lang w:val="es-MX"/>
        </w:rPr>
      </w:pPr>
      <w:r w:rsidRPr="0058724E">
        <w:rPr>
          <w:rFonts w:ascii="Century Gothic" w:hAnsi="Century Gothic" w:cs="Arial"/>
          <w:i/>
          <w:lang w:val="es-MX"/>
        </w:rPr>
        <w:t xml:space="preserve">…VII. </w:t>
      </w:r>
      <w:r w:rsidRPr="0058724E">
        <w:rPr>
          <w:rFonts w:ascii="Century Gothic" w:hAnsi="Century Gothic"/>
          <w:i/>
        </w:rPr>
        <w:t>Proponer al Ayuntamiento, las medidas o disposiciones que tiendan a incrementar los recursos económicos que constituyen la hacienda pública municipa</w:t>
      </w:r>
      <w:r w:rsidRPr="0058724E">
        <w:rPr>
          <w:rFonts w:ascii="Century Gothic" w:hAnsi="Century Gothic"/>
          <w:i/>
        </w:rPr>
        <w:t>l…”</w:t>
      </w:r>
    </w:p>
    <w:p w:rsidR="00EB6D86" w:rsidRPr="0058724E" w:rsidRDefault="00EB6D86" w:rsidP="006273B7">
      <w:pPr>
        <w:pStyle w:val="Textoindependiente"/>
        <w:jc w:val="both"/>
        <w:rPr>
          <w:rFonts w:ascii="Century Gothic" w:hAnsi="Century Gothic" w:cs="Arial"/>
          <w:i/>
          <w:lang w:val="es-MX"/>
        </w:rPr>
      </w:pPr>
    </w:p>
    <w:p w:rsidR="006273B7" w:rsidRPr="007D2642" w:rsidRDefault="006273B7" w:rsidP="006273B7">
      <w:pPr>
        <w:jc w:val="both"/>
        <w:rPr>
          <w:rFonts w:ascii="Arial" w:hAnsi="Arial" w:cs="Arial"/>
          <w:sz w:val="24"/>
          <w:szCs w:val="24"/>
        </w:rPr>
      </w:pPr>
    </w:p>
    <w:p w:rsidR="006273B7" w:rsidRPr="007D2642" w:rsidRDefault="006273B7" w:rsidP="006273B7">
      <w:pPr>
        <w:jc w:val="both"/>
        <w:rPr>
          <w:rFonts w:ascii="Arial" w:hAnsi="Arial" w:cs="Arial"/>
          <w:sz w:val="24"/>
          <w:szCs w:val="24"/>
        </w:rPr>
      </w:pPr>
    </w:p>
    <w:p w:rsidR="006273B7" w:rsidRDefault="006273B7" w:rsidP="006273B7"/>
    <w:p w:rsidR="00E543E2" w:rsidRDefault="00E543E2"/>
    <w:sectPr w:rsidR="00E543E2" w:rsidSect="0058724E">
      <w:headerReference w:type="default" r:id="rId6"/>
      <w:footerReference w:type="default" r:id="rId7"/>
      <w:pgSz w:w="12240" w:h="15840" w:code="1"/>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873" w:rsidRDefault="00EA6873" w:rsidP="006273B7">
      <w:pPr>
        <w:spacing w:after="0" w:line="240" w:lineRule="auto"/>
      </w:pPr>
      <w:r>
        <w:separator/>
      </w:r>
    </w:p>
  </w:endnote>
  <w:endnote w:type="continuationSeparator" w:id="0">
    <w:p w:rsidR="00EA6873" w:rsidRDefault="00EA6873" w:rsidP="00627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A7F" w:rsidRDefault="00EA6873">
    <w:pPr>
      <w:pStyle w:val="Piedepgina"/>
      <w:jc w:val="center"/>
      <w:rPr>
        <w:color w:val="5B9BD5" w:themeColor="accent1"/>
      </w:rPr>
    </w:pPr>
    <w:r>
      <w:rPr>
        <w:color w:val="5B9BD5" w:themeColor="accent1"/>
      </w:rPr>
      <w:t xml:space="preserve">Página </w:t>
    </w:r>
    <w:r>
      <w:rPr>
        <w:color w:val="5B9BD5" w:themeColor="accent1"/>
      </w:rPr>
      <w:fldChar w:fldCharType="begin"/>
    </w:r>
    <w:r>
      <w:rPr>
        <w:color w:val="5B9BD5" w:themeColor="accent1"/>
      </w:rPr>
      <w:instrText>PAGE  \* Arabic  \* MERGEFORMAT</w:instrText>
    </w:r>
    <w:r>
      <w:rPr>
        <w:color w:val="5B9BD5" w:themeColor="accent1"/>
      </w:rPr>
      <w:fldChar w:fldCharType="separate"/>
    </w:r>
    <w:r w:rsidR="0058724E">
      <w:rPr>
        <w:noProof/>
        <w:color w:val="5B9BD5" w:themeColor="accent1"/>
      </w:rPr>
      <w:t>1</w:t>
    </w:r>
    <w:r>
      <w:rPr>
        <w:color w:val="5B9BD5" w:themeColor="accent1"/>
      </w:rPr>
      <w:fldChar w:fldCharType="end"/>
    </w:r>
    <w:r>
      <w:rPr>
        <w:color w:val="5B9BD5" w:themeColor="accent1"/>
      </w:rPr>
      <w:t xml:space="preserve"> de </w:t>
    </w:r>
    <w:r>
      <w:rPr>
        <w:color w:val="5B9BD5" w:themeColor="accent1"/>
      </w:rPr>
      <w:fldChar w:fldCharType="begin"/>
    </w:r>
    <w:r>
      <w:rPr>
        <w:color w:val="5B9BD5" w:themeColor="accent1"/>
      </w:rPr>
      <w:instrText>NUMPAGES  \* Arabic  \* MERGEFORMAT</w:instrText>
    </w:r>
    <w:r>
      <w:rPr>
        <w:color w:val="5B9BD5" w:themeColor="accent1"/>
      </w:rPr>
      <w:fldChar w:fldCharType="separate"/>
    </w:r>
    <w:r w:rsidR="0058724E">
      <w:rPr>
        <w:noProof/>
        <w:color w:val="5B9BD5" w:themeColor="accent1"/>
      </w:rPr>
      <w:t>2</w:t>
    </w:r>
    <w:r>
      <w:rPr>
        <w:color w:val="5B9BD5" w:themeColor="accent1"/>
      </w:rPr>
      <w:fldChar w:fldCharType="end"/>
    </w:r>
  </w:p>
  <w:p w:rsidR="00864A7F" w:rsidRDefault="00EA687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873" w:rsidRDefault="00EA6873" w:rsidP="006273B7">
      <w:pPr>
        <w:spacing w:after="0" w:line="240" w:lineRule="auto"/>
      </w:pPr>
      <w:r>
        <w:separator/>
      </w:r>
    </w:p>
  </w:footnote>
  <w:footnote w:type="continuationSeparator" w:id="0">
    <w:p w:rsidR="00EA6873" w:rsidRDefault="00EA6873" w:rsidP="006273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557C" w:rsidRDefault="00EA6873" w:rsidP="008C38F9">
    <w:pPr>
      <w:pStyle w:val="Encabezad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B7"/>
    <w:rsid w:val="0058724E"/>
    <w:rsid w:val="006273B7"/>
    <w:rsid w:val="009105E4"/>
    <w:rsid w:val="00A43EFF"/>
    <w:rsid w:val="00A53739"/>
    <w:rsid w:val="00B631CC"/>
    <w:rsid w:val="00E543E2"/>
    <w:rsid w:val="00EA6873"/>
    <w:rsid w:val="00EB6D86"/>
    <w:rsid w:val="00EF3A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F8A99A-5549-41C6-B989-045DB99C8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3B7"/>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273B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273B7"/>
    <w:rPr>
      <w:lang w:val="es-ES"/>
    </w:rPr>
  </w:style>
  <w:style w:type="paragraph" w:styleId="Piedepgina">
    <w:name w:val="footer"/>
    <w:basedOn w:val="Normal"/>
    <w:link w:val="PiedepginaCar"/>
    <w:uiPriority w:val="99"/>
    <w:unhideWhenUsed/>
    <w:rsid w:val="006273B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273B7"/>
    <w:rPr>
      <w:lang w:val="es-ES"/>
    </w:rPr>
  </w:style>
  <w:style w:type="paragraph" w:styleId="Textoindependiente">
    <w:name w:val="Body Text"/>
    <w:basedOn w:val="Normal"/>
    <w:link w:val="TextoindependienteCar"/>
    <w:uiPriority w:val="99"/>
    <w:unhideWhenUsed/>
    <w:rsid w:val="006273B7"/>
    <w:pPr>
      <w:spacing w:after="120"/>
    </w:pPr>
  </w:style>
  <w:style w:type="character" w:customStyle="1" w:styleId="TextoindependienteCar">
    <w:name w:val="Texto independiente Car"/>
    <w:basedOn w:val="Fuentedeprrafopredeter"/>
    <w:link w:val="Textoindependiente"/>
    <w:uiPriority w:val="99"/>
    <w:rsid w:val="006273B7"/>
    <w:rPr>
      <w:lang w:val="es-ES"/>
    </w:rPr>
  </w:style>
  <w:style w:type="table" w:styleId="Tablaconcuadrcula">
    <w:name w:val="Table Grid"/>
    <w:basedOn w:val="Tablanormal"/>
    <w:uiPriority w:val="39"/>
    <w:rsid w:val="00627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58724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8724E"/>
    <w:rPr>
      <w:rFonts w:ascii="Segoe UI"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397</Words>
  <Characters>2187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ejecucion10</dc:creator>
  <cp:keywords/>
  <dc:description/>
  <cp:lastModifiedBy>ejecucion10</cp:lastModifiedBy>
  <cp:revision>1</cp:revision>
  <cp:lastPrinted>2019-10-02T17:41:00Z</cp:lastPrinted>
  <dcterms:created xsi:type="dcterms:W3CDTF">2019-10-02T15:59:00Z</dcterms:created>
  <dcterms:modified xsi:type="dcterms:W3CDTF">2019-10-02T17:45:00Z</dcterms:modified>
</cp:coreProperties>
</file>